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ascii="宋体" w:hAnsi="宋体" w:cs="宋体"/>
          <w:b/>
          <w:bCs/>
          <w:sz w:val="36"/>
          <w:szCs w:val="36"/>
        </w:rPr>
      </w:pPr>
      <w:r>
        <w:rPr>
          <w:rFonts w:hint="eastAsia" w:ascii="宋体" w:hAnsi="宋体" w:cs="宋体"/>
          <w:b/>
          <w:bCs/>
          <w:sz w:val="36"/>
          <w:szCs w:val="36"/>
        </w:rPr>
        <w:t>招标公告</w:t>
      </w:r>
    </w:p>
    <w:p>
      <w:pPr>
        <w:spacing w:line="420" w:lineRule="exact"/>
        <w:jc w:val="left"/>
        <w:rPr>
          <w:rFonts w:ascii="宋体" w:hAnsi="宋体" w:cs="宋体"/>
          <w:sz w:val="24"/>
        </w:rPr>
      </w:pPr>
      <w:r>
        <w:rPr>
          <w:rFonts w:hint="eastAsia" w:ascii="宋体" w:hAnsi="宋体" w:cs="宋体"/>
          <w:sz w:val="24"/>
        </w:rPr>
        <w:t>一、招标范围：</w:t>
      </w:r>
    </w:p>
    <w:p>
      <w:pPr>
        <w:spacing w:line="420" w:lineRule="exact"/>
        <w:jc w:val="left"/>
        <w:rPr>
          <w:rFonts w:ascii="宋体" w:hAnsi="宋体" w:cs="宋体"/>
          <w:b/>
          <w:bCs/>
          <w:sz w:val="24"/>
        </w:rPr>
      </w:pPr>
      <w:r>
        <w:rPr>
          <w:rFonts w:hint="eastAsia" w:ascii="宋体" w:hAnsi="宋体" w:cs="宋体"/>
          <w:b/>
          <w:bCs/>
          <w:color w:val="000000"/>
          <w:sz w:val="24"/>
        </w:rPr>
        <w:t xml:space="preserve">   1、招标材料/设备名称：某项目定制灯具招标</w:t>
      </w:r>
    </w:p>
    <w:p>
      <w:pPr>
        <w:numPr>
          <w:ilvl w:val="0"/>
          <w:numId w:val="1"/>
        </w:numPr>
        <w:spacing w:line="420" w:lineRule="exact"/>
        <w:jc w:val="left"/>
        <w:rPr>
          <w:rFonts w:ascii="宋体" w:hAnsi="宋体" w:cs="宋体"/>
          <w:b/>
          <w:bCs/>
          <w:sz w:val="24"/>
        </w:rPr>
      </w:pPr>
      <w:r>
        <w:rPr>
          <w:rFonts w:hint="eastAsia" w:ascii="宋体" w:hAnsi="宋体" w:cs="宋体"/>
          <w:b/>
          <w:bCs/>
          <w:sz w:val="24"/>
        </w:rPr>
        <w:t xml:space="preserve">质量标准: 达到验收标准 </w:t>
      </w:r>
    </w:p>
    <w:p>
      <w:pPr>
        <w:numPr>
          <w:ilvl w:val="0"/>
          <w:numId w:val="1"/>
        </w:numPr>
        <w:spacing w:line="420" w:lineRule="exact"/>
        <w:jc w:val="left"/>
        <w:rPr>
          <w:rFonts w:ascii="宋体" w:hAnsi="宋体" w:cs="宋体"/>
          <w:b/>
          <w:bCs/>
          <w:sz w:val="24"/>
        </w:rPr>
      </w:pPr>
      <w:r>
        <w:rPr>
          <w:rFonts w:hint="eastAsia" w:ascii="宋体" w:hAnsi="宋体" w:cs="宋体"/>
          <w:b/>
          <w:bCs/>
          <w:sz w:val="24"/>
        </w:rPr>
        <w:t>供货周期要求：订单发出后，</w:t>
      </w:r>
      <w:r>
        <w:rPr>
          <w:rFonts w:ascii="宋体" w:hAnsi="宋体" w:cs="宋体"/>
          <w:b/>
          <w:bCs/>
          <w:sz w:val="24"/>
        </w:rPr>
        <w:t>15</w:t>
      </w:r>
      <w:r>
        <w:rPr>
          <w:rFonts w:hint="eastAsia" w:ascii="宋体" w:hAnsi="宋体" w:cs="宋体"/>
          <w:b/>
          <w:bCs/>
          <w:sz w:val="24"/>
        </w:rPr>
        <w:t>天内到货</w:t>
      </w:r>
    </w:p>
    <w:p>
      <w:pPr>
        <w:pStyle w:val="2"/>
        <w:spacing w:line="420" w:lineRule="exact"/>
        <w:rPr>
          <w:rFonts w:hAnsi="宋体" w:cs="宋体"/>
          <w:b/>
          <w:bCs/>
          <w:sz w:val="24"/>
        </w:rPr>
      </w:pPr>
      <w:r>
        <w:rPr>
          <w:rFonts w:hint="eastAsia" w:hAnsi="宋体" w:cs="宋体"/>
          <w:b/>
          <w:bCs/>
          <w:sz w:val="24"/>
        </w:rPr>
        <w:t xml:space="preserve">   4、工程概况</w:t>
      </w:r>
    </w:p>
    <w:p>
      <w:pPr>
        <w:pStyle w:val="2"/>
        <w:spacing w:line="420" w:lineRule="exact"/>
        <w:rPr>
          <w:rFonts w:hAnsi="宋体" w:cs="宋体"/>
          <w:b/>
          <w:bCs/>
          <w:color w:val="000000"/>
          <w:kern w:val="0"/>
          <w:sz w:val="22"/>
          <w:szCs w:val="22"/>
        </w:rPr>
      </w:pPr>
      <w:r>
        <w:rPr>
          <w:rFonts w:hint="eastAsia" w:hAnsi="宋体" w:cs="宋体"/>
          <w:sz w:val="24"/>
        </w:rPr>
        <w:t xml:space="preserve">    </w:t>
      </w:r>
      <w:r>
        <w:rPr>
          <w:rFonts w:hint="eastAsia" w:hAnsi="宋体" w:cs="宋体"/>
          <w:b/>
          <w:bCs/>
          <w:sz w:val="24"/>
        </w:rPr>
        <w:t xml:space="preserve"> </w:t>
      </w:r>
      <w:r>
        <w:rPr>
          <w:rFonts w:hint="eastAsia" w:hAnsi="宋体" w:cs="宋体"/>
          <w:b/>
          <w:bCs/>
        </w:rPr>
        <w:t>工程名称</w:t>
      </w:r>
      <w:r>
        <w:rPr>
          <w:rFonts w:hint="eastAsia" w:hAnsi="宋体" w:cs="宋体"/>
          <w:b/>
          <w:bCs/>
          <w:sz w:val="24"/>
        </w:rPr>
        <w:t>：某项目装修工程</w:t>
      </w:r>
    </w:p>
    <w:p>
      <w:pPr>
        <w:pStyle w:val="2"/>
        <w:spacing w:line="420" w:lineRule="exact"/>
        <w:ind w:firstLine="632" w:firstLineChars="300"/>
        <w:rPr>
          <w:rFonts w:hAnsi="宋体" w:cs="宋体"/>
          <w:b/>
          <w:bCs/>
        </w:rPr>
      </w:pPr>
      <w:r>
        <w:rPr>
          <w:rFonts w:hint="eastAsia" w:hAnsi="宋体" w:cs="宋体"/>
          <w:b/>
          <w:bCs/>
        </w:rPr>
        <w:t>工程地址：河北雄安新区容东片区</w:t>
      </w:r>
    </w:p>
    <w:p>
      <w:pPr>
        <w:pStyle w:val="2"/>
        <w:numPr>
          <w:ilvl w:val="0"/>
          <w:numId w:val="2"/>
        </w:numPr>
        <w:spacing w:line="420" w:lineRule="exact"/>
        <w:rPr>
          <w:rFonts w:hAnsi="宋体" w:cs="宋体"/>
          <w:sz w:val="24"/>
        </w:rPr>
      </w:pPr>
      <w:r>
        <w:rPr>
          <w:rFonts w:hint="eastAsia" w:hAnsi="宋体" w:cs="宋体"/>
          <w:sz w:val="24"/>
        </w:rPr>
        <w:t>投标资格要求：</w:t>
      </w:r>
    </w:p>
    <w:p>
      <w:pPr>
        <w:pStyle w:val="2"/>
        <w:spacing w:line="420" w:lineRule="exact"/>
        <w:rPr>
          <w:rFonts w:hAnsi="宋体" w:cs="宋体"/>
          <w:sz w:val="24"/>
        </w:rPr>
      </w:pPr>
      <w:r>
        <w:rPr>
          <w:rFonts w:hint="eastAsia" w:hAnsi="宋体" w:cs="宋体"/>
          <w:sz w:val="24"/>
        </w:rPr>
        <w:t>1、投标人提供生产厂家资质证明文件及相关业绩并盖章，营业执照经营范围内必须包括投标材料内容。投标设备材料必须为投标人主营项。（有需要查看现场的必须查看现场后方可参与投标）</w:t>
      </w:r>
    </w:p>
    <w:p>
      <w:pPr>
        <w:pStyle w:val="2"/>
        <w:spacing w:line="420" w:lineRule="exact"/>
        <w:rPr>
          <w:rFonts w:hAnsi="宋体" w:cs="宋体"/>
          <w:sz w:val="24"/>
        </w:rPr>
      </w:pPr>
      <w:r>
        <w:rPr>
          <w:rFonts w:hint="eastAsia" w:hAnsi="宋体" w:cs="宋体"/>
          <w:sz w:val="24"/>
        </w:rPr>
        <w:t>2、</w:t>
      </w:r>
      <w:r>
        <w:rPr>
          <w:rFonts w:hAnsi="宋体" w:cs="宋体"/>
          <w:sz w:val="24"/>
        </w:rPr>
        <w:t>需提供投标单位公司名称近两年投标材料单项工程销售业绩超10万以上合同复印件3份以上，提供材料保证真实可查，材料作假，投标单位承担一切相关损失。</w:t>
      </w:r>
    </w:p>
    <w:p>
      <w:pPr>
        <w:pStyle w:val="2"/>
        <w:spacing w:line="420" w:lineRule="exact"/>
        <w:rPr>
          <w:rFonts w:hAnsi="宋体" w:cs="宋体"/>
          <w:b/>
          <w:bCs/>
          <w:color w:val="FF0000"/>
          <w:sz w:val="24"/>
        </w:rPr>
      </w:pPr>
      <w:r>
        <w:rPr>
          <w:rFonts w:hint="eastAsia" w:hAnsi="宋体" w:cs="宋体"/>
          <w:b/>
          <w:bCs/>
          <w:color w:val="FF0000"/>
          <w:sz w:val="24"/>
        </w:rPr>
        <w:t>3、投标保证金：</w:t>
      </w:r>
    </w:p>
    <w:p>
      <w:pPr>
        <w:pStyle w:val="2"/>
        <w:spacing w:line="420" w:lineRule="exact"/>
        <w:rPr>
          <w:rFonts w:hAnsi="宋体" w:cs="宋体"/>
          <w:b/>
          <w:bCs/>
          <w:color w:val="FF0000"/>
          <w:sz w:val="24"/>
        </w:rPr>
      </w:pPr>
      <w:r>
        <w:rPr>
          <w:rFonts w:hint="eastAsia" w:hAnsi="宋体" w:cs="宋体"/>
          <w:b/>
          <w:bCs/>
          <w:color w:val="FF0000"/>
          <w:sz w:val="24"/>
        </w:rPr>
        <w:t>本次招标需缴纳投标保证金：</w:t>
      </w:r>
      <w:r>
        <w:rPr>
          <w:rFonts w:hint="eastAsia" w:hAnsi="宋体" w:cs="宋体"/>
          <w:b/>
          <w:bCs/>
          <w:color w:val="FF0000"/>
          <w:sz w:val="24"/>
          <w:u w:val="single"/>
        </w:rPr>
        <w:t xml:space="preserve">    </w:t>
      </w:r>
      <w:r>
        <w:rPr>
          <w:rFonts w:hAnsi="宋体" w:cs="宋体"/>
          <w:b/>
          <w:bCs/>
          <w:color w:val="FF0000"/>
          <w:sz w:val="24"/>
          <w:u w:val="single"/>
        </w:rPr>
        <w:t>0</w:t>
      </w:r>
      <w:r>
        <w:rPr>
          <w:rFonts w:hint="eastAsia" w:hAnsi="宋体" w:cs="宋体"/>
          <w:b/>
          <w:bCs/>
          <w:color w:val="FF0000"/>
          <w:sz w:val="24"/>
          <w:u w:val="single"/>
        </w:rPr>
        <w:t xml:space="preserve">   </w:t>
      </w:r>
      <w:r>
        <w:rPr>
          <w:rFonts w:hint="eastAsia" w:hAnsi="宋体" w:cs="宋体"/>
          <w:b/>
          <w:bCs/>
          <w:color w:val="FF0000"/>
          <w:sz w:val="24"/>
        </w:rPr>
        <w:t>元。</w:t>
      </w:r>
    </w:p>
    <w:p>
      <w:pPr>
        <w:pStyle w:val="2"/>
        <w:spacing w:line="420" w:lineRule="exact"/>
        <w:rPr>
          <w:rFonts w:hAnsi="宋体" w:cs="宋体"/>
          <w:b/>
          <w:bCs/>
          <w:color w:val="FF0000"/>
          <w:sz w:val="24"/>
        </w:rPr>
      </w:pPr>
      <w:r>
        <w:rPr>
          <w:rFonts w:hint="eastAsia" w:hAnsi="宋体" w:cs="宋体"/>
          <w:b/>
          <w:bCs/>
          <w:color w:val="FF0000"/>
          <w:sz w:val="24"/>
        </w:rPr>
        <w:t>投标保证金账户：</w:t>
      </w:r>
    </w:p>
    <w:p>
      <w:pPr>
        <w:pStyle w:val="2"/>
        <w:spacing w:line="420" w:lineRule="exact"/>
        <w:rPr>
          <w:rFonts w:hAnsi="宋体" w:cs="宋体"/>
          <w:b/>
          <w:bCs/>
          <w:color w:val="FF0000"/>
          <w:sz w:val="24"/>
        </w:rPr>
      </w:pPr>
      <w:r>
        <w:rPr>
          <w:rFonts w:hint="eastAsia" w:hAnsi="宋体" w:cs="宋体"/>
          <w:b/>
          <w:bCs/>
          <w:color w:val="FF0000"/>
          <w:sz w:val="24"/>
        </w:rPr>
        <w:t>河北建工集团建筑装饰工程有限公司   账号：13050161503600000798</w:t>
      </w:r>
    </w:p>
    <w:p>
      <w:pPr>
        <w:pStyle w:val="2"/>
        <w:spacing w:line="420" w:lineRule="exact"/>
        <w:rPr>
          <w:rFonts w:hAnsi="宋体" w:cs="宋体"/>
          <w:b/>
          <w:bCs/>
          <w:color w:val="FF0000"/>
          <w:sz w:val="24"/>
        </w:rPr>
      </w:pPr>
      <w:r>
        <w:rPr>
          <w:rFonts w:hint="eastAsia" w:hAnsi="宋体" w:cs="宋体"/>
          <w:b/>
          <w:bCs/>
          <w:color w:val="FF0000"/>
          <w:sz w:val="24"/>
        </w:rPr>
        <w:t>开户行：中国建设银行石家庄中山西路支行</w:t>
      </w:r>
    </w:p>
    <w:p>
      <w:pPr>
        <w:pStyle w:val="2"/>
        <w:spacing w:line="420" w:lineRule="exact"/>
        <w:rPr>
          <w:rFonts w:hAnsi="宋体" w:cs="宋体"/>
          <w:b/>
          <w:bCs/>
          <w:color w:val="FF0000"/>
          <w:sz w:val="24"/>
        </w:rPr>
      </w:pPr>
      <w:r>
        <w:rPr>
          <w:rFonts w:hint="eastAsia" w:hAnsi="宋体" w:cs="宋体"/>
          <w:b/>
          <w:bCs/>
          <w:color w:val="FF0000"/>
          <w:sz w:val="24"/>
        </w:rPr>
        <w:t>3.1投标保证金的缴纳</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经项目部及器材部确认供应商有投标资格后，供应商再根据要求打投标保证金。未经确认资格提前打投标保证金的视为未缴纳投标保证金。</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投标保证金以参与投标公司名称公对公打款，不接受个人账户对公打款。</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本次缴纳的投标保证金为单独为本招标项目材料缴纳的，只针对本次招标项目及材料，与供应商网标平台缴纳保证金无关，本次投标保证金只需要缴纳至河北建工集团建筑装饰工程有限公司。</w:t>
      </w:r>
    </w:p>
    <w:p>
      <w:pPr>
        <w:pStyle w:val="2"/>
        <w:spacing w:line="420" w:lineRule="exact"/>
        <w:rPr>
          <w:rFonts w:hAnsi="宋体" w:cs="宋体"/>
          <w:b/>
          <w:bCs/>
          <w:color w:val="FF0000"/>
          <w:sz w:val="24"/>
        </w:rPr>
      </w:pPr>
      <w:r>
        <w:rPr>
          <w:rFonts w:hint="eastAsia" w:hAnsi="宋体" w:cs="宋体"/>
          <w:b/>
          <w:bCs/>
          <w:color w:val="FF0000"/>
          <w:sz w:val="24"/>
        </w:rPr>
        <w:t>3.2投标保证金不予退还情况</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供应商参与投标前提供的相关资料存在弄虚作假，欺骗招标单位的。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供应商网标入围后不参与议标、放弃议标的。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供应商参与议标后未经协商单方面补充、修改、替代投标文件的，招标人不予接受。</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宣布供应商中标后，供应商无正当理由不予招标人签订合同的，在签订合同时单方面向招标人提出附加条件或者更改合同实质性内容的。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中标人在规定期限内未能按规定签订合同或未能按照合同履约的给招标人造成的损失超过保证金数额的，还应当对超过部分予以赔偿。</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投标人采用不正当的手段骗取中标。</w:t>
      </w:r>
    </w:p>
    <w:p>
      <w:pPr>
        <w:pStyle w:val="2"/>
        <w:spacing w:line="420" w:lineRule="exact"/>
        <w:rPr>
          <w:rFonts w:hAnsi="宋体" w:cs="宋体"/>
          <w:b/>
          <w:bCs/>
          <w:color w:val="FF0000"/>
          <w:sz w:val="24"/>
        </w:rPr>
      </w:pPr>
      <w:r>
        <w:rPr>
          <w:rFonts w:hint="eastAsia" w:hAnsi="宋体" w:cs="宋体"/>
          <w:b/>
          <w:bCs/>
          <w:color w:val="FF0000"/>
          <w:sz w:val="24"/>
        </w:rPr>
        <w:t>发生但不限于以上情况，供应商投标保证金将不予退还。</w:t>
      </w:r>
    </w:p>
    <w:p>
      <w:pPr>
        <w:pStyle w:val="2"/>
        <w:spacing w:line="420" w:lineRule="exact"/>
        <w:rPr>
          <w:rFonts w:hAnsi="宋体" w:cs="宋体"/>
          <w:b/>
          <w:bCs/>
          <w:color w:val="FF0000"/>
          <w:sz w:val="24"/>
        </w:rPr>
      </w:pPr>
      <w:r>
        <w:rPr>
          <w:rFonts w:hint="eastAsia" w:hAnsi="宋体" w:cs="宋体"/>
          <w:b/>
          <w:bCs/>
          <w:color w:val="FF0000"/>
          <w:sz w:val="24"/>
        </w:rPr>
        <w:t>3.3投标保证金的退还</w:t>
      </w:r>
    </w:p>
    <w:p>
      <w:pPr>
        <w:pStyle w:val="2"/>
        <w:spacing w:line="420" w:lineRule="exact"/>
        <w:rPr>
          <w:rFonts w:hAnsi="宋体" w:cs="宋体"/>
          <w:b/>
          <w:bCs/>
          <w:color w:val="FF0000"/>
          <w:sz w:val="24"/>
        </w:rPr>
      </w:pPr>
      <w:r>
        <w:rPr>
          <w:rFonts w:hint="eastAsia" w:hAnsi="宋体" w:cs="宋体"/>
          <w:b/>
          <w:bCs/>
          <w:color w:val="FF0000"/>
          <w:sz w:val="24"/>
        </w:rPr>
        <w:t>供应商缴纳的投标保证金最迟待项目最终确定供应商并签订合同后5日内，投标单位投标保证金统一退回（无利息）。中标单位投标保证金待合同正常履约且经项目部同意退回。</w:t>
      </w:r>
    </w:p>
    <w:p>
      <w:pPr>
        <w:pStyle w:val="2"/>
        <w:spacing w:line="420" w:lineRule="exact"/>
        <w:rPr>
          <w:rFonts w:hAnsi="宋体" w:cs="宋体"/>
          <w:sz w:val="24"/>
        </w:rPr>
      </w:pPr>
      <w:bookmarkStart w:id="0" w:name="_Toc226388165"/>
      <w:bookmarkStart w:id="1" w:name="_Toc226387921"/>
      <w:bookmarkStart w:id="2" w:name="_Toc226388022"/>
      <w:r>
        <w:rPr>
          <w:rFonts w:hint="eastAsia" w:hAnsi="宋体" w:cs="宋体"/>
          <w:sz w:val="24"/>
        </w:rPr>
        <w:t>三、付款方式：</w:t>
      </w:r>
      <w:r>
        <w:rPr>
          <w:rFonts w:hint="eastAsia" w:hAnsi="宋体" w:cs="宋体"/>
          <w:sz w:val="24"/>
          <w:lang w:eastAsia="zh-CN"/>
        </w:rPr>
        <w:t>货到现场安装完毕后付至</w:t>
      </w:r>
      <w:r>
        <w:rPr>
          <w:rFonts w:hint="default" w:hAnsi="宋体" w:cs="宋体"/>
          <w:sz w:val="24"/>
          <w:lang w:val="en-US" w:eastAsia="zh-CN"/>
        </w:rPr>
        <w:t>90</w:t>
      </w:r>
      <w:r>
        <w:rPr>
          <w:rFonts w:hint="eastAsia" w:hAnsi="宋体" w:cs="宋体"/>
          <w:sz w:val="24"/>
        </w:rPr>
        <w:t>%，工程竣工验收后付至95%，5%质保金，质保期2年。</w:t>
      </w:r>
    </w:p>
    <w:p>
      <w:pPr>
        <w:pStyle w:val="2"/>
        <w:spacing w:line="420" w:lineRule="exact"/>
        <w:rPr>
          <w:rFonts w:hAnsi="宋体" w:cs="宋体"/>
          <w:b/>
          <w:bCs/>
          <w:color w:val="FF0000"/>
          <w:sz w:val="24"/>
        </w:rPr>
      </w:pPr>
      <w:r>
        <w:rPr>
          <w:rFonts w:hint="eastAsia" w:hAnsi="宋体" w:cs="宋体"/>
          <w:sz w:val="24"/>
        </w:rPr>
        <w:t xml:space="preserve"> </w:t>
      </w:r>
      <w:r>
        <w:rPr>
          <w:rFonts w:hint="eastAsia" w:hAnsi="宋体" w:cs="宋体"/>
          <w:b/>
          <w:bCs/>
          <w:color w:val="FF0000"/>
          <w:sz w:val="24"/>
        </w:rPr>
        <w:t>按实际情况填写</w:t>
      </w:r>
    </w:p>
    <w:p>
      <w:pPr>
        <w:pStyle w:val="8"/>
        <w:numPr>
          <w:ilvl w:val="0"/>
          <w:numId w:val="5"/>
        </w:numPr>
        <w:spacing w:line="420" w:lineRule="exact"/>
        <w:jc w:val="left"/>
        <w:rPr>
          <w:rFonts w:ascii="宋体" w:hAnsi="宋体" w:cs="宋体"/>
          <w:sz w:val="24"/>
          <w:szCs w:val="24"/>
        </w:rPr>
      </w:pPr>
      <w:r>
        <w:rPr>
          <w:rFonts w:hint="eastAsia" w:ascii="宋体" w:hAnsi="宋体" w:cs="宋体"/>
          <w:sz w:val="24"/>
          <w:szCs w:val="24"/>
        </w:rPr>
        <w:t>招标方式及评标办法：</w:t>
      </w:r>
    </w:p>
    <w:p>
      <w:pPr>
        <w:pStyle w:val="8"/>
        <w:numPr>
          <w:ilvl w:val="1"/>
          <w:numId w:val="5"/>
        </w:numPr>
        <w:spacing w:line="420" w:lineRule="exact"/>
        <w:jc w:val="left"/>
        <w:rPr>
          <w:rFonts w:ascii="宋体" w:hAnsi="宋体" w:cs="宋体"/>
          <w:sz w:val="24"/>
          <w:szCs w:val="24"/>
        </w:rPr>
      </w:pPr>
      <w:r>
        <w:rPr>
          <w:rFonts w:hint="eastAsia" w:ascii="宋体" w:hAnsi="宋体" w:cs="宋体"/>
          <w:sz w:val="24"/>
          <w:szCs w:val="24"/>
        </w:rPr>
        <w:t>招标方式：公开招标，通过中采电子商务平台进行竞价招标。</w:t>
      </w:r>
    </w:p>
    <w:p>
      <w:pPr>
        <w:pStyle w:val="8"/>
        <w:numPr>
          <w:ilvl w:val="0"/>
          <w:numId w:val="6"/>
        </w:numPr>
        <w:spacing w:line="420" w:lineRule="exact"/>
        <w:jc w:val="left"/>
        <w:rPr>
          <w:rFonts w:ascii="宋体" w:hAnsi="宋体" w:cs="宋体"/>
          <w:sz w:val="24"/>
        </w:rPr>
      </w:pPr>
      <w:r>
        <w:rPr>
          <w:rFonts w:hint="eastAsia" w:ascii="宋体" w:hAnsi="宋体" w:cs="宋体"/>
          <w:sz w:val="24"/>
          <w:szCs w:val="24"/>
        </w:rPr>
        <w:t>评标办法：</w:t>
      </w:r>
      <w:r>
        <w:rPr>
          <w:rFonts w:hint="eastAsia" w:ascii="宋体" w:hAnsi="宋体" w:cs="宋体"/>
          <w:b/>
          <w:bCs/>
          <w:color w:val="FF0000"/>
          <w:sz w:val="24"/>
          <w:szCs w:val="24"/>
        </w:rPr>
        <w:t>招标入围后到公司议标，合理低价中标，不保证最低价中标。</w:t>
      </w:r>
    </w:p>
    <w:p>
      <w:pPr>
        <w:pStyle w:val="8"/>
        <w:numPr>
          <w:ilvl w:val="0"/>
          <w:numId w:val="6"/>
        </w:numPr>
        <w:spacing w:line="420" w:lineRule="exact"/>
        <w:jc w:val="left"/>
        <w:rPr>
          <w:rFonts w:ascii="宋体" w:hAnsi="宋体" w:cs="宋体"/>
          <w:sz w:val="24"/>
        </w:rPr>
      </w:pPr>
      <w:r>
        <w:rPr>
          <w:rFonts w:hint="eastAsia" w:ascii="宋体" w:hAnsi="宋体" w:cs="宋体"/>
          <w:sz w:val="24"/>
        </w:rPr>
        <w:t>废标条件</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 xml:space="preserve">1）低于成本恶性竞争的； </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2）与其他投标人相互串通报价，或者与招标人串通投标的；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 xml:space="preserve">3）中标后没有能力履行合同的； </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4）未按招标文件约定报价的；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5）招标第一阶段供应商低于三家的；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6）所报单价高于我公司市场询价一定比例的，如：</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单价500元以内的，报价高于公司询价5%；</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单价500元以上1000元以内的，报价高于公司询价4%；</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单价1000元以上2000元以内的，报价高于公司询价3%；</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单价2000元以上4500元以内的，报价高于公司询价2%；</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单价4500元以上的，报价高于公司询价1%；</w:t>
      </w:r>
    </w:p>
    <w:p>
      <w:pPr>
        <w:pStyle w:val="8"/>
        <w:numPr>
          <w:ilvl w:val="0"/>
          <w:numId w:val="7"/>
        </w:numPr>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无厂家、无授权、无加工厂地、无类似业绩等供应商禁止投标，禁止中标后根据中标价格联系转包其他供应商。</w:t>
      </w:r>
    </w:p>
    <w:p>
      <w:pPr>
        <w:pStyle w:val="8"/>
        <w:spacing w:line="420" w:lineRule="exact"/>
        <w:jc w:val="left"/>
        <w:rPr>
          <w:rFonts w:ascii="宋体" w:hAnsi="宋体" w:cs="宋体"/>
          <w:sz w:val="24"/>
          <w:szCs w:val="24"/>
        </w:rPr>
      </w:pPr>
      <w:r>
        <w:rPr>
          <w:rFonts w:hint="eastAsia" w:ascii="宋体" w:hAnsi="宋体" w:cs="宋体"/>
          <w:sz w:val="24"/>
          <w:szCs w:val="24"/>
        </w:rPr>
        <w:t>六、招投标时间</w:t>
      </w:r>
    </w:p>
    <w:p>
      <w:pPr>
        <w:pStyle w:val="8"/>
        <w:spacing w:line="420" w:lineRule="exact"/>
        <w:ind w:firstLine="480" w:firstLineChars="200"/>
        <w:jc w:val="left"/>
        <w:rPr>
          <w:rFonts w:ascii="宋体" w:hAnsi="宋体" w:cs="宋体"/>
          <w:color w:val="FF0000"/>
          <w:sz w:val="24"/>
          <w:szCs w:val="24"/>
        </w:rPr>
      </w:pPr>
      <w:r>
        <w:rPr>
          <w:rFonts w:hint="eastAsia" w:ascii="宋体" w:hAnsi="宋体" w:cs="宋体"/>
          <w:color w:val="FF0000"/>
          <w:sz w:val="24"/>
          <w:szCs w:val="24"/>
        </w:rPr>
        <w:t>招标公告公示时间：2</w:t>
      </w:r>
      <w:r>
        <w:rPr>
          <w:rFonts w:ascii="宋体" w:hAnsi="宋体" w:cs="宋体"/>
          <w:color w:val="FF0000"/>
          <w:sz w:val="24"/>
          <w:szCs w:val="24"/>
        </w:rPr>
        <w:t>022-6-27</w:t>
      </w:r>
    </w:p>
    <w:p>
      <w:pPr>
        <w:pStyle w:val="8"/>
        <w:spacing w:line="420" w:lineRule="exact"/>
        <w:ind w:firstLine="480" w:firstLineChars="200"/>
        <w:jc w:val="left"/>
        <w:rPr>
          <w:rFonts w:hint="eastAsia" w:ascii="宋体" w:hAnsi="宋体" w:eastAsia="宋体" w:cs="宋体"/>
          <w:color w:val="FF0000"/>
          <w:sz w:val="24"/>
          <w:szCs w:val="24"/>
          <w:lang w:val="en-US" w:eastAsia="zh-CN"/>
        </w:rPr>
      </w:pPr>
      <w:r>
        <w:rPr>
          <w:rFonts w:hint="eastAsia" w:ascii="宋体" w:hAnsi="宋体" w:cs="宋体"/>
          <w:color w:val="FF0000"/>
          <w:sz w:val="24"/>
          <w:szCs w:val="24"/>
        </w:rPr>
        <w:t>报名截止时间：2</w:t>
      </w:r>
      <w:r>
        <w:rPr>
          <w:rFonts w:ascii="宋体" w:hAnsi="宋体" w:cs="宋体"/>
          <w:color w:val="FF0000"/>
          <w:sz w:val="24"/>
          <w:szCs w:val="24"/>
        </w:rPr>
        <w:t>022-6-2</w:t>
      </w:r>
      <w:r>
        <w:rPr>
          <w:rFonts w:hint="eastAsia" w:ascii="宋体" w:hAnsi="宋体" w:cs="宋体"/>
          <w:color w:val="FF0000"/>
          <w:sz w:val="24"/>
          <w:szCs w:val="24"/>
          <w:lang w:val="en-US" w:eastAsia="zh-CN"/>
        </w:rPr>
        <w:t>8</w:t>
      </w:r>
      <w:bookmarkStart w:id="3" w:name="_GoBack"/>
      <w:bookmarkEnd w:id="3"/>
    </w:p>
    <w:p>
      <w:pPr>
        <w:spacing w:line="420" w:lineRule="exact"/>
        <w:rPr>
          <w:rFonts w:hint="eastAsia" w:ascii="宋体" w:hAnsi="宋体" w:eastAsia="宋体" w:cs="宋体"/>
          <w:sz w:val="24"/>
          <w:lang w:val="en-US" w:eastAsia="zh-CN"/>
        </w:rPr>
      </w:pPr>
      <w:r>
        <w:rPr>
          <w:rFonts w:hint="eastAsia" w:ascii="宋体" w:hAnsi="宋体" w:cs="宋体"/>
          <w:color w:val="FF0000"/>
          <w:sz w:val="24"/>
        </w:rPr>
        <w:t xml:space="preserve">    竞标时间：2</w:t>
      </w:r>
      <w:r>
        <w:rPr>
          <w:rFonts w:ascii="宋体" w:hAnsi="宋体" w:cs="宋体"/>
          <w:color w:val="FF0000"/>
          <w:sz w:val="24"/>
        </w:rPr>
        <w:t>022-6-2</w:t>
      </w:r>
      <w:r>
        <w:rPr>
          <w:rFonts w:hint="eastAsia" w:ascii="宋体" w:hAnsi="宋体" w:cs="宋体"/>
          <w:color w:val="FF0000"/>
          <w:sz w:val="24"/>
          <w:lang w:val="en-US" w:eastAsia="zh-CN"/>
        </w:rPr>
        <w:t>9</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公司地址：河北省石家庄市桥西区石获南路66号A座十三楼河北建工集团装饰工程有限公司</w:t>
      </w:r>
    </w:p>
    <w:p>
      <w:pPr>
        <w:spacing w:line="420" w:lineRule="exact"/>
        <w:ind w:firstLine="480" w:firstLineChars="200"/>
        <w:rPr>
          <w:rFonts w:ascii="宋体" w:hAnsi="宋体" w:cs="宋体"/>
          <w:kern w:val="0"/>
          <w:sz w:val="24"/>
        </w:rPr>
      </w:pPr>
      <w:r>
        <w:rPr>
          <w:rFonts w:hint="eastAsia" w:ascii="宋体" w:hAnsi="宋体" w:cs="宋体"/>
          <w:sz w:val="24"/>
        </w:rPr>
        <w:t xml:space="preserve">现场联系人：苏枫            </w:t>
      </w:r>
      <w:r>
        <w:rPr>
          <w:rFonts w:hint="eastAsia" w:ascii="宋体" w:hAnsi="宋体" w:cs="宋体"/>
          <w:kern w:val="0"/>
          <w:sz w:val="24"/>
        </w:rPr>
        <w:t>联系电话：1</w:t>
      </w:r>
      <w:r>
        <w:rPr>
          <w:rFonts w:ascii="宋体" w:hAnsi="宋体" w:cs="宋体"/>
          <w:kern w:val="0"/>
          <w:sz w:val="24"/>
        </w:rPr>
        <w:t>8732225953</w:t>
      </w:r>
    </w:p>
    <w:p>
      <w:pPr>
        <w:spacing w:line="420" w:lineRule="exact"/>
        <w:ind w:firstLine="480" w:firstLineChars="200"/>
        <w:rPr>
          <w:rFonts w:ascii="宋体" w:hAnsi="宋体" w:cs="宋体"/>
          <w:sz w:val="28"/>
          <w:szCs w:val="28"/>
        </w:rPr>
      </w:pPr>
      <w:r>
        <w:rPr>
          <w:rFonts w:hint="eastAsia" w:ascii="宋体" w:hAnsi="宋体" w:cs="宋体"/>
          <w:sz w:val="24"/>
        </w:rPr>
        <w:t xml:space="preserve">招标操作联系人：王圆圆   联系电话：15097379998      </w:t>
      </w:r>
    </w:p>
    <w:p>
      <w:pPr>
        <w:keepNext/>
        <w:pageBreakBefore/>
        <w:spacing w:before="156" w:beforeLines="50" w:after="156" w:afterLines="50" w:line="520" w:lineRule="exact"/>
        <w:ind w:right="278"/>
        <w:jc w:val="center"/>
        <w:outlineLvl w:val="0"/>
        <w:rPr>
          <w:rFonts w:ascii="宋体" w:hAnsi="宋体" w:cs="宋体"/>
          <w:sz w:val="32"/>
        </w:rPr>
      </w:pPr>
      <w:r>
        <w:rPr>
          <w:rFonts w:hint="eastAsia" w:ascii="宋体" w:hAnsi="宋体" w:cs="宋体"/>
          <w:b/>
          <w:color w:val="000000"/>
          <w:spacing w:val="8"/>
          <w:sz w:val="36"/>
          <w:szCs w:val="36"/>
        </w:rPr>
        <w:t>投标须知</w:t>
      </w:r>
      <w:bookmarkEnd w:id="0"/>
      <w:bookmarkEnd w:id="1"/>
      <w:bookmarkEnd w:id="2"/>
    </w:p>
    <w:p>
      <w:pPr>
        <w:spacing w:line="500" w:lineRule="exact"/>
        <w:ind w:firstLine="480" w:firstLineChars="200"/>
        <w:rPr>
          <w:rFonts w:ascii="宋体" w:hAnsi="宋体" w:cs="宋体"/>
          <w:sz w:val="24"/>
        </w:rPr>
      </w:pPr>
      <w:r>
        <w:rPr>
          <w:rFonts w:hint="eastAsia" w:ascii="宋体" w:hAnsi="宋体" w:cs="宋体"/>
          <w:sz w:val="24"/>
        </w:rPr>
        <w:t>1.投标报价</w:t>
      </w:r>
    </w:p>
    <w:p>
      <w:pPr>
        <w:pStyle w:val="8"/>
        <w:spacing w:line="420" w:lineRule="exact"/>
        <w:ind w:firstLine="480" w:firstLineChars="200"/>
        <w:jc w:val="left"/>
        <w:rPr>
          <w:rFonts w:ascii="宋体" w:hAnsi="宋体" w:cs="宋体"/>
          <w:sz w:val="24"/>
        </w:rPr>
      </w:pPr>
      <w:r>
        <w:rPr>
          <w:rFonts w:hint="eastAsia" w:ascii="宋体" w:hAnsi="宋体" w:cs="宋体"/>
          <w:sz w:val="24"/>
        </w:rPr>
        <w:t>1.1本次招标的材料的报价应包含：合格货物到达用户指定交货地点以及售后服务的一切费用，</w:t>
      </w:r>
      <w:r>
        <w:rPr>
          <w:rFonts w:hint="eastAsia" w:ascii="宋体" w:hAnsi="宋体" w:cs="宋体"/>
          <w:b/>
          <w:bCs/>
          <w:color w:val="FF0000"/>
          <w:sz w:val="24"/>
        </w:rPr>
        <w:t>即已包括材料出厂价、安装费、运费、税金（13%增值税专用发票）与履行本合同有关的一切税费，卸货费由乙方承担。（按实际填写）</w:t>
      </w:r>
    </w:p>
    <w:p>
      <w:pPr>
        <w:spacing w:line="500" w:lineRule="exact"/>
        <w:ind w:firstLine="482" w:firstLineChars="200"/>
        <w:rPr>
          <w:rFonts w:ascii="宋体" w:hAnsi="宋体" w:cs="宋体"/>
          <w:sz w:val="24"/>
        </w:rPr>
      </w:pPr>
      <w:r>
        <w:rPr>
          <w:rFonts w:hint="eastAsia" w:ascii="宋体" w:hAnsi="宋体" w:cs="宋体"/>
          <w:b/>
          <w:bCs/>
          <w:sz w:val="24"/>
        </w:rPr>
        <w:t>1.2 本次招标文件内容仅作为投标前报价依据，实际情况以议标现场实际说明为准，如相关参数要求与招标文件不一致，以议标现场说明为准</w:t>
      </w:r>
      <w:r>
        <w:rPr>
          <w:rFonts w:hint="eastAsia" w:ascii="宋体" w:hAnsi="宋体" w:cs="宋体"/>
          <w:sz w:val="24"/>
        </w:rPr>
        <w:t>。</w:t>
      </w:r>
    </w:p>
    <w:p>
      <w:pPr>
        <w:pStyle w:val="8"/>
        <w:spacing w:line="420" w:lineRule="exact"/>
        <w:ind w:firstLine="480" w:firstLineChars="200"/>
        <w:jc w:val="left"/>
        <w:rPr>
          <w:rFonts w:ascii="宋体" w:hAnsi="宋体" w:cs="宋体"/>
          <w:b/>
          <w:bCs/>
          <w:sz w:val="24"/>
        </w:rPr>
      </w:pPr>
      <w:r>
        <w:rPr>
          <w:rFonts w:hint="eastAsia" w:ascii="宋体" w:hAnsi="宋体" w:cs="宋体"/>
          <w:sz w:val="24"/>
        </w:rPr>
        <w:t>1.3</w:t>
      </w:r>
      <w:r>
        <w:rPr>
          <w:rFonts w:hint="eastAsia" w:ascii="宋体" w:hAnsi="宋体" w:cs="宋体"/>
          <w:b/>
          <w:bCs/>
          <w:sz w:val="24"/>
        </w:rPr>
        <w:t>本次招标设置投标截止时间，超过投标截止时间未查看现场或未报名不再登记参与本次投标。</w:t>
      </w:r>
    </w:p>
    <w:p>
      <w:pPr>
        <w:pStyle w:val="8"/>
        <w:spacing w:line="420" w:lineRule="exact"/>
        <w:ind w:firstLine="480" w:firstLineChars="200"/>
        <w:jc w:val="left"/>
        <w:rPr>
          <w:rFonts w:ascii="宋体" w:hAnsi="宋体" w:cs="宋体"/>
          <w:b/>
          <w:bCs/>
          <w:sz w:val="24"/>
          <w:szCs w:val="24"/>
        </w:rPr>
      </w:pPr>
      <w:r>
        <w:rPr>
          <w:rFonts w:hint="eastAsia" w:ascii="宋体" w:hAnsi="宋体" w:cs="宋体"/>
          <w:sz w:val="24"/>
        </w:rPr>
        <w:t>1.4</w:t>
      </w:r>
      <w:r>
        <w:rPr>
          <w:rFonts w:hint="eastAsia" w:ascii="宋体" w:hAnsi="宋体" w:cs="宋体"/>
          <w:b/>
          <w:bCs/>
          <w:sz w:val="24"/>
          <w:szCs w:val="24"/>
        </w:rPr>
        <w:t>无合作经历供应商确定中标前需配合公司进行相关资质能力考察，未经资质考察，器材部及项目部有权拒绝供应商投标。</w:t>
      </w:r>
    </w:p>
    <w:p>
      <w:pPr>
        <w:pStyle w:val="8"/>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1.5投标前投标人必须确认参与投标产品品牌与供应商名称，投标后不允许更换品牌及供应商名称。</w:t>
      </w:r>
    </w:p>
    <w:p>
      <w:pPr>
        <w:pStyle w:val="8"/>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1.6投标前需充分考虑实际因素，中标后不得以材料价格上涨等其他原因拒绝供货及施工，对此我方保留上诉权利。</w:t>
      </w:r>
    </w:p>
    <w:p>
      <w:pPr>
        <w:spacing w:line="500" w:lineRule="exact"/>
        <w:ind w:firstLine="482" w:firstLineChars="200"/>
        <w:rPr>
          <w:rFonts w:ascii="宋体" w:hAnsi="宋体" w:cs="宋体"/>
          <w:b/>
          <w:sz w:val="24"/>
        </w:rPr>
      </w:pPr>
      <w:r>
        <w:rPr>
          <w:rFonts w:hint="eastAsia" w:ascii="宋体" w:hAnsi="宋体" w:cs="宋体"/>
          <w:b/>
          <w:sz w:val="24"/>
        </w:rPr>
        <w:t xml:space="preserve">2.竞标规则： </w:t>
      </w:r>
    </w:p>
    <w:p>
      <w:pPr>
        <w:autoSpaceDE w:val="0"/>
        <w:spacing w:line="480" w:lineRule="exact"/>
        <w:rPr>
          <w:rFonts w:ascii="宋体" w:hAnsi="宋体" w:cs="宋体"/>
          <w:sz w:val="24"/>
        </w:rPr>
      </w:pPr>
      <w:r>
        <w:rPr>
          <w:rFonts w:hint="eastAsia" w:ascii="宋体" w:hAnsi="宋体" w:cs="宋体"/>
          <w:sz w:val="24"/>
        </w:rPr>
        <w:t>1）投标人需登录河北建工物流电子商务平台（webbiao.com）进行注册(登录后上传企业营业执照、组织机构代码证、税务登记证（国、地税）加盖公章的电子扫描件 )。</w:t>
      </w:r>
    </w:p>
    <w:p>
      <w:pPr>
        <w:spacing w:line="500" w:lineRule="exact"/>
        <w:rPr>
          <w:rFonts w:ascii="宋体" w:hAnsi="宋体" w:cs="宋体"/>
          <w:sz w:val="24"/>
        </w:rPr>
      </w:pPr>
      <w:r>
        <w:rPr>
          <w:rFonts w:hint="eastAsia" w:ascii="宋体" w:hAnsi="宋体" w:cs="宋体"/>
          <w:sz w:val="24"/>
        </w:rPr>
        <w:t>2）报价内容：</w:t>
      </w:r>
    </w:p>
    <w:p>
      <w:pPr>
        <w:spacing w:line="500" w:lineRule="exact"/>
        <w:ind w:firstLine="480" w:firstLineChars="200"/>
        <w:rPr>
          <w:rFonts w:ascii="宋体" w:hAnsi="宋体" w:cs="宋体"/>
          <w:kern w:val="0"/>
          <w:sz w:val="24"/>
        </w:rPr>
      </w:pPr>
      <w:r>
        <w:rPr>
          <w:rFonts w:hint="eastAsia" w:ascii="宋体" w:hAnsi="宋体" w:cs="宋体"/>
          <w:sz w:val="24"/>
          <w:highlight w:val="yellow"/>
        </w:rPr>
        <w:t>2</w:t>
      </w:r>
      <w:r>
        <w:rPr>
          <w:rFonts w:ascii="宋体" w:hAnsi="宋体" w:cs="宋体"/>
          <w:sz w:val="24"/>
          <w:highlight w:val="yellow"/>
        </w:rPr>
        <w:t>022</w:t>
      </w:r>
      <w:r>
        <w:rPr>
          <w:rFonts w:hint="eastAsia" w:ascii="宋体" w:hAnsi="宋体" w:cs="宋体"/>
          <w:sz w:val="24"/>
          <w:highlight w:val="yellow"/>
        </w:rPr>
        <w:t xml:space="preserve">年 </w:t>
      </w:r>
      <w:r>
        <w:rPr>
          <w:rFonts w:ascii="宋体" w:hAnsi="宋体" w:cs="宋体"/>
          <w:sz w:val="24"/>
          <w:highlight w:val="yellow"/>
        </w:rPr>
        <w:t>6</w:t>
      </w:r>
      <w:r>
        <w:rPr>
          <w:rFonts w:hint="eastAsia" w:ascii="宋体" w:hAnsi="宋体" w:cs="宋体"/>
          <w:sz w:val="24"/>
          <w:highlight w:val="yellow"/>
        </w:rPr>
        <w:t xml:space="preserve">月 </w:t>
      </w:r>
      <w:r>
        <w:rPr>
          <w:rFonts w:ascii="宋体" w:hAnsi="宋体" w:cs="宋体"/>
          <w:sz w:val="24"/>
          <w:highlight w:val="yellow"/>
        </w:rPr>
        <w:t>2</w:t>
      </w:r>
      <w:r>
        <w:rPr>
          <w:rFonts w:hint="eastAsia" w:ascii="宋体" w:hAnsi="宋体" w:cs="宋体"/>
          <w:sz w:val="24"/>
          <w:highlight w:val="yellow"/>
          <w:lang w:val="en-US" w:eastAsia="zh-CN"/>
        </w:rPr>
        <w:t>9</w:t>
      </w:r>
      <w:r>
        <w:rPr>
          <w:rFonts w:ascii="宋体" w:hAnsi="宋体" w:cs="宋体"/>
          <w:sz w:val="24"/>
          <w:highlight w:val="yellow"/>
        </w:rPr>
        <w:t>日</w:t>
      </w:r>
      <w:r>
        <w:rPr>
          <w:rFonts w:hint="eastAsia" w:ascii="宋体" w:hAnsi="宋体" w:cs="宋体"/>
          <w:sz w:val="24"/>
          <w:highlight w:val="yellow"/>
        </w:rPr>
        <w:t xml:space="preserve"> </w:t>
      </w:r>
      <w:r>
        <w:rPr>
          <w:rFonts w:ascii="宋体" w:hAnsi="宋体" w:cs="宋体"/>
          <w:sz w:val="24"/>
          <w:highlight w:val="yellow"/>
        </w:rPr>
        <w:t>10</w:t>
      </w:r>
      <w:r>
        <w:rPr>
          <w:rFonts w:hint="eastAsia" w:ascii="宋体" w:hAnsi="宋体" w:cs="宋体"/>
          <w:sz w:val="24"/>
          <w:highlight w:val="yellow"/>
        </w:rPr>
        <w:t>:0</w:t>
      </w:r>
      <w:r>
        <w:rPr>
          <w:rFonts w:ascii="宋体" w:hAnsi="宋体" w:cs="宋体"/>
          <w:sz w:val="24"/>
          <w:highlight w:val="yellow"/>
        </w:rPr>
        <w:t>0</w:t>
      </w:r>
      <w:r>
        <w:rPr>
          <w:rFonts w:hint="eastAsia" w:ascii="宋体" w:hAnsi="宋体" w:cs="宋体"/>
          <w:sz w:val="24"/>
          <w:highlight w:val="yellow"/>
        </w:rPr>
        <w:t xml:space="preserve">至 </w:t>
      </w:r>
      <w:r>
        <w:rPr>
          <w:rFonts w:ascii="宋体" w:hAnsi="宋体" w:cs="宋体"/>
          <w:sz w:val="24"/>
          <w:highlight w:val="yellow"/>
        </w:rPr>
        <w:t>11</w:t>
      </w:r>
      <w:r>
        <w:rPr>
          <w:rFonts w:hint="eastAsia" w:ascii="宋体" w:hAnsi="宋体" w:cs="宋体"/>
          <w:sz w:val="24"/>
          <w:highlight w:val="yellow"/>
        </w:rPr>
        <w:t>:0</w:t>
      </w:r>
      <w:r>
        <w:rPr>
          <w:rFonts w:ascii="宋体" w:hAnsi="宋体" w:cs="宋体"/>
          <w:sz w:val="24"/>
          <w:highlight w:val="yellow"/>
        </w:rPr>
        <w:t>0</w:t>
      </w:r>
      <w:r>
        <w:rPr>
          <w:rFonts w:hint="eastAsia" w:ascii="宋体" w:hAnsi="宋体" w:cs="宋体"/>
          <w:sz w:val="24"/>
        </w:rPr>
        <w:t xml:space="preserve"> 为竞价时间</w:t>
      </w:r>
      <w:r>
        <w:rPr>
          <w:rFonts w:hint="eastAsia" w:ascii="宋体" w:hAnsi="宋体" w:cs="宋体"/>
          <w:kern w:val="0"/>
          <w:sz w:val="24"/>
        </w:rPr>
        <w:t>(逾期竞价，以竞价截止时间前最后一次报价为准)，此次竞价分为两个阶段：</w:t>
      </w:r>
    </w:p>
    <w:p>
      <w:pPr>
        <w:spacing w:line="500" w:lineRule="exact"/>
        <w:rPr>
          <w:rFonts w:ascii="宋体" w:hAnsi="宋体" w:cs="宋体"/>
          <w:kern w:val="0"/>
          <w:sz w:val="24"/>
        </w:rPr>
      </w:pPr>
      <w:r>
        <w:rPr>
          <w:rFonts w:hint="eastAsia" w:ascii="宋体" w:hAnsi="宋体" w:cs="宋体"/>
          <w:b/>
          <w:bCs/>
          <w:kern w:val="0"/>
          <w:sz w:val="24"/>
        </w:rPr>
        <w:t>第一阶段：1</w:t>
      </w:r>
      <w:r>
        <w:rPr>
          <w:rFonts w:ascii="宋体" w:hAnsi="宋体" w:cs="宋体"/>
          <w:b/>
          <w:bCs/>
          <w:kern w:val="0"/>
          <w:sz w:val="24"/>
        </w:rPr>
        <w:t>0</w:t>
      </w:r>
      <w:r>
        <w:rPr>
          <w:rFonts w:hint="eastAsia" w:ascii="宋体" w:hAnsi="宋体" w:cs="宋体"/>
          <w:b/>
          <w:bCs/>
          <w:kern w:val="0"/>
          <w:sz w:val="24"/>
        </w:rPr>
        <w:t>:</w:t>
      </w:r>
      <w:r>
        <w:rPr>
          <w:rFonts w:ascii="宋体" w:hAnsi="宋体" w:cs="宋体"/>
          <w:b/>
          <w:bCs/>
          <w:kern w:val="0"/>
          <w:sz w:val="24"/>
        </w:rPr>
        <w:t>00-10</w:t>
      </w:r>
      <w:r>
        <w:rPr>
          <w:rFonts w:hint="eastAsia" w:ascii="宋体" w:hAnsi="宋体" w:cs="宋体"/>
          <w:b/>
          <w:bCs/>
          <w:kern w:val="0"/>
          <w:sz w:val="24"/>
        </w:rPr>
        <w:t>:3</w:t>
      </w:r>
      <w:r>
        <w:rPr>
          <w:rFonts w:ascii="宋体" w:hAnsi="宋体" w:cs="宋体"/>
          <w:b/>
          <w:bCs/>
          <w:kern w:val="0"/>
          <w:sz w:val="24"/>
        </w:rPr>
        <w:t>0</w:t>
      </w:r>
      <w:r>
        <w:rPr>
          <w:rFonts w:hint="eastAsia" w:ascii="宋体" w:hAnsi="宋体" w:cs="宋体"/>
          <w:b/>
          <w:bCs/>
          <w:kern w:val="0"/>
          <w:sz w:val="24"/>
        </w:rPr>
        <w:t xml:space="preserve">  </w:t>
      </w:r>
      <w:r>
        <w:rPr>
          <w:rFonts w:hint="eastAsia" w:ascii="宋体" w:hAnsi="宋体" w:cs="宋体"/>
          <w:kern w:val="0"/>
          <w:sz w:val="24"/>
        </w:rPr>
        <w:t>（第一阶段截止，根据价格高低排名，平台自动按照70%*报价家数（小数向上取整）进入到第二阶段）；</w:t>
      </w:r>
    </w:p>
    <w:p>
      <w:pPr>
        <w:spacing w:line="500" w:lineRule="exact"/>
        <w:rPr>
          <w:rFonts w:ascii="宋体" w:hAnsi="宋体" w:cs="宋体"/>
          <w:kern w:val="0"/>
          <w:sz w:val="24"/>
        </w:rPr>
      </w:pPr>
      <w:r>
        <w:rPr>
          <w:rFonts w:hint="eastAsia" w:ascii="宋体" w:hAnsi="宋体" w:cs="宋体"/>
          <w:b/>
          <w:bCs/>
          <w:kern w:val="0"/>
          <w:sz w:val="24"/>
        </w:rPr>
        <w:t>第二阶段：1</w:t>
      </w:r>
      <w:r>
        <w:rPr>
          <w:rFonts w:ascii="宋体" w:hAnsi="宋体" w:cs="宋体"/>
          <w:b/>
          <w:bCs/>
          <w:kern w:val="0"/>
          <w:sz w:val="24"/>
        </w:rPr>
        <w:t>0</w:t>
      </w:r>
      <w:r>
        <w:rPr>
          <w:rFonts w:hint="eastAsia" w:ascii="宋体" w:hAnsi="宋体" w:cs="宋体"/>
          <w:b/>
          <w:bCs/>
          <w:kern w:val="0"/>
          <w:sz w:val="24"/>
        </w:rPr>
        <w:t>:3</w:t>
      </w:r>
      <w:r>
        <w:rPr>
          <w:rFonts w:ascii="宋体" w:hAnsi="宋体" w:cs="宋体"/>
          <w:b/>
          <w:bCs/>
          <w:kern w:val="0"/>
          <w:sz w:val="24"/>
        </w:rPr>
        <w:t>0-11</w:t>
      </w:r>
      <w:r>
        <w:rPr>
          <w:rFonts w:hint="eastAsia" w:ascii="宋体" w:hAnsi="宋体" w:cs="宋体"/>
          <w:b/>
          <w:bCs/>
          <w:kern w:val="0"/>
          <w:sz w:val="24"/>
        </w:rPr>
        <w:t>:0</w:t>
      </w:r>
      <w:r>
        <w:rPr>
          <w:rFonts w:ascii="宋体" w:hAnsi="宋体" w:cs="宋体"/>
          <w:b/>
          <w:bCs/>
          <w:kern w:val="0"/>
          <w:sz w:val="24"/>
        </w:rPr>
        <w:t>0</w:t>
      </w:r>
      <w:r>
        <w:rPr>
          <w:rFonts w:hint="eastAsia" w:ascii="宋体" w:hAnsi="宋体" w:cs="宋体"/>
          <w:b/>
          <w:bCs/>
          <w:kern w:val="0"/>
          <w:sz w:val="24"/>
        </w:rPr>
        <w:t xml:space="preserve">  </w:t>
      </w:r>
      <w:r>
        <w:rPr>
          <w:rFonts w:hint="eastAsia" w:ascii="宋体" w:hAnsi="宋体" w:cs="宋体"/>
          <w:kern w:val="0"/>
          <w:sz w:val="24"/>
        </w:rPr>
        <w:t>（第二阶段截止，平台默认为3家，3家中最低价者为中标单位）；</w:t>
      </w:r>
    </w:p>
    <w:p>
      <w:pPr>
        <w:spacing w:line="500" w:lineRule="exact"/>
        <w:ind w:firstLine="472" w:firstLineChars="196"/>
        <w:rPr>
          <w:rFonts w:ascii="宋体" w:hAnsi="宋体" w:cs="宋体"/>
          <w:b/>
          <w:kern w:val="0"/>
          <w:sz w:val="24"/>
        </w:rPr>
      </w:pPr>
      <w:r>
        <w:rPr>
          <w:rFonts w:hint="eastAsia" w:ascii="宋体" w:hAnsi="宋体" w:cs="宋体"/>
          <w:b/>
          <w:kern w:val="0"/>
          <w:sz w:val="24"/>
        </w:rPr>
        <w:t>善意提醒，不要等到时间节点的最后一分钟提交报价，由于网络问题或其它问题可能出现报价不能及时提交，耽误报价。如果操作不熟悉，可到公司进行培训。</w:t>
      </w:r>
    </w:p>
    <w:p>
      <w:pPr>
        <w:spacing w:line="500" w:lineRule="exact"/>
        <w:rPr>
          <w:rFonts w:ascii="宋体" w:hAnsi="宋体" w:cs="宋体"/>
          <w:color w:val="FF0000"/>
          <w:kern w:val="0"/>
          <w:sz w:val="28"/>
          <w:szCs w:val="28"/>
        </w:rPr>
      </w:pPr>
      <w:r>
        <w:rPr>
          <w:rFonts w:hint="eastAsia" w:ascii="宋体" w:hAnsi="宋体" w:cs="宋体"/>
          <w:color w:val="FF0000"/>
          <w:kern w:val="0"/>
          <w:sz w:val="28"/>
          <w:szCs w:val="28"/>
        </w:rPr>
        <w:t>每阶段结束之后可以查看各家总价，每段结束之前不能查看。</w:t>
      </w:r>
    </w:p>
    <w:p>
      <w:pPr>
        <w:jc w:val="center"/>
        <w:rPr>
          <w:rFonts w:ascii="宋体" w:hAnsi="宋体" w:cs="宋体"/>
          <w:b/>
          <w:bCs/>
          <w:kern w:val="0"/>
          <w:sz w:val="28"/>
          <w:szCs w:val="28"/>
        </w:rPr>
      </w:pPr>
      <w:r>
        <w:rPr>
          <w:rFonts w:hint="eastAsia" w:ascii="宋体" w:hAnsi="宋体" w:cs="宋体"/>
          <w:b/>
          <w:bCs/>
          <w:kern w:val="0"/>
          <w:sz w:val="28"/>
          <w:szCs w:val="28"/>
        </w:rPr>
        <w:t>招标清单</w:t>
      </w:r>
    </w:p>
    <w:tbl>
      <w:tblPr>
        <w:tblStyle w:val="5"/>
        <w:tblW w:w="9105" w:type="dxa"/>
        <w:jc w:val="center"/>
        <w:tblLayout w:type="fixed"/>
        <w:tblCellMar>
          <w:top w:w="0" w:type="dxa"/>
          <w:left w:w="108" w:type="dxa"/>
          <w:bottom w:w="0" w:type="dxa"/>
          <w:right w:w="108" w:type="dxa"/>
        </w:tblCellMar>
      </w:tblPr>
      <w:tblGrid>
        <w:gridCol w:w="1284"/>
        <w:gridCol w:w="1619"/>
        <w:gridCol w:w="1483"/>
        <w:gridCol w:w="1483"/>
        <w:gridCol w:w="1205"/>
        <w:gridCol w:w="2031"/>
      </w:tblGrid>
      <w:tr>
        <w:tblPrEx>
          <w:tblCellMar>
            <w:top w:w="0" w:type="dxa"/>
            <w:left w:w="108" w:type="dxa"/>
            <w:bottom w:w="0" w:type="dxa"/>
            <w:right w:w="108" w:type="dxa"/>
          </w:tblCellMar>
        </w:tblPrEx>
        <w:trPr>
          <w:trHeight w:val="821"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6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材料名称</w:t>
            </w:r>
          </w:p>
        </w:tc>
        <w:tc>
          <w:tcPr>
            <w:tcW w:w="14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12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619"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rFonts w:hint="eastAsia"/>
                <w:sz w:val="20"/>
                <w:szCs w:val="20"/>
              </w:rPr>
              <w:t>定制方形圆角灯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600*600</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olor w:val="000000"/>
                <w:sz w:val="22"/>
                <w:szCs w:val="22"/>
              </w:rPr>
              <w:t>26</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.2mm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定制方形圆角灯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1000*1000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3</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定制方形圆角灯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1500*1500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3</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w:t>
            </w:r>
            <w:r>
              <w:rPr>
                <w:rFonts w:ascii="宋体" w:hAnsi="宋体" w:cs="宋体"/>
                <w:color w:val="000000"/>
                <w:sz w:val="20"/>
                <w:szCs w:val="20"/>
              </w:rPr>
              <w:t>软膜</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定制方形圆角灯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2300*2300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1</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w:t>
            </w:r>
            <w:r>
              <w:rPr>
                <w:rFonts w:ascii="宋体" w:hAnsi="宋体" w:cs="宋体"/>
                <w:color w:val="000000"/>
                <w:sz w:val="20"/>
                <w:szCs w:val="20"/>
              </w:rPr>
              <w:t>软膜</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309"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嵌入式圆灯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Φ</w:t>
            </w:r>
            <w:r>
              <w:rPr>
                <w:color w:val="000000"/>
                <w:sz w:val="22"/>
                <w:szCs w:val="22"/>
              </w:rPr>
              <w:t>600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10</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2</w:t>
            </w:r>
            <w:r>
              <w:rPr>
                <w:rFonts w:ascii="宋体" w:hAnsi="宋体" w:cs="宋体"/>
                <w:color w:val="000000"/>
                <w:sz w:val="20"/>
                <w:szCs w:val="20"/>
              </w:rPr>
              <w:t>.0mm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嵌入式圆灯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Φ720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30</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2</w:t>
            </w:r>
            <w:r>
              <w:rPr>
                <w:rFonts w:ascii="宋体" w:hAnsi="宋体" w:cs="宋体"/>
                <w:color w:val="000000"/>
                <w:sz w:val="20"/>
                <w:szCs w:val="20"/>
              </w:rPr>
              <w:t>.0mm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嵌入式圆灯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Φ</w:t>
            </w:r>
            <w:r>
              <w:rPr>
                <w:color w:val="000000"/>
                <w:sz w:val="22"/>
                <w:szCs w:val="22"/>
              </w:rPr>
              <w:t>800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90</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2</w:t>
            </w:r>
            <w:r>
              <w:rPr>
                <w:rFonts w:ascii="宋体" w:hAnsi="宋体" w:cs="宋体"/>
                <w:color w:val="000000"/>
                <w:sz w:val="20"/>
                <w:szCs w:val="20"/>
              </w:rPr>
              <w:t>.0mm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嵌入式圆灯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Φ</w:t>
            </w:r>
            <w:r>
              <w:rPr>
                <w:color w:val="000000"/>
                <w:sz w:val="22"/>
                <w:szCs w:val="22"/>
              </w:rPr>
              <w:t>1200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60</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2</w:t>
            </w:r>
            <w:r>
              <w:rPr>
                <w:rFonts w:ascii="宋体" w:hAnsi="宋体" w:cs="宋体"/>
                <w:color w:val="000000"/>
                <w:sz w:val="20"/>
                <w:szCs w:val="20"/>
              </w:rPr>
              <w:t>.0mm</w:t>
            </w:r>
            <w:r>
              <w:rPr>
                <w:rFonts w:hint="eastAsia" w:ascii="宋体" w:hAnsi="宋体" w:cs="宋体"/>
                <w:color w:val="000000"/>
                <w:sz w:val="20"/>
                <w:szCs w:val="20"/>
              </w:rPr>
              <w:t>厚</w:t>
            </w:r>
            <w:r>
              <w:rPr>
                <w:rFonts w:ascii="宋体" w:hAnsi="宋体" w:cs="宋体"/>
                <w:color w:val="000000"/>
                <w:sz w:val="20"/>
                <w:szCs w:val="20"/>
              </w:rPr>
              <w:t>亚克力</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云朵灯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1300*800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4</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w:t>
            </w:r>
            <w:r>
              <w:rPr>
                <w:rFonts w:ascii="宋体" w:hAnsi="宋体" w:cs="宋体"/>
                <w:color w:val="000000"/>
                <w:sz w:val="20"/>
                <w:szCs w:val="20"/>
              </w:rPr>
              <w:t>软膜</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云朵灯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1800*1150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2</w:t>
            </w:r>
          </w:p>
        </w:tc>
        <w:tc>
          <w:tcPr>
            <w:tcW w:w="2031" w:type="dxa"/>
            <w:tcBorders>
              <w:top w:val="single" w:color="auto" w:sz="4" w:space="0"/>
              <w:left w:val="single" w:color="auto" w:sz="4" w:space="0"/>
              <w:bottom w:val="single" w:color="auto" w:sz="4" w:space="0"/>
              <w:right w:val="single" w:color="auto" w:sz="4" w:space="0"/>
            </w:tcBorders>
          </w:tcPr>
          <w:p>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w:t>
            </w:r>
            <w:r>
              <w:rPr>
                <w:rFonts w:ascii="宋体" w:hAnsi="宋体" w:cs="宋体"/>
                <w:color w:val="000000"/>
                <w:sz w:val="20"/>
                <w:szCs w:val="20"/>
              </w:rPr>
              <w:t>软膜</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r>
        <w:tblPrEx>
          <w:tblCellMar>
            <w:top w:w="0" w:type="dxa"/>
            <w:left w:w="108" w:type="dxa"/>
            <w:bottom w:w="0" w:type="dxa"/>
            <w:right w:w="108" w:type="dxa"/>
          </w:tblCellMar>
        </w:tblPrEx>
        <w:trPr>
          <w:trHeight w:val="435"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p>
        </w:tc>
        <w:tc>
          <w:tcPr>
            <w:tcW w:w="1619" w:type="dxa"/>
            <w:tcBorders>
              <w:top w:val="single" w:color="auto" w:sz="4" w:space="0"/>
              <w:left w:val="single" w:color="auto" w:sz="4" w:space="0"/>
              <w:bottom w:val="single" w:color="auto" w:sz="4" w:space="0"/>
              <w:right w:val="single" w:color="auto" w:sz="4" w:space="0"/>
            </w:tcBorders>
            <w:noWrap/>
            <w:vAlign w:val="center"/>
          </w:tcPr>
          <w:p>
            <w:pPr>
              <w:jc w:val="center"/>
              <w:rPr>
                <w:sz w:val="20"/>
                <w:szCs w:val="20"/>
              </w:rPr>
            </w:pPr>
            <w:r>
              <w:rPr>
                <w:rFonts w:hint="eastAsia"/>
                <w:sz w:val="20"/>
                <w:szCs w:val="20"/>
              </w:rPr>
              <w:t>云朵灯</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2300*1400</w:t>
            </w:r>
          </w:p>
        </w:tc>
        <w:tc>
          <w:tcPr>
            <w:tcW w:w="1483" w:type="dxa"/>
            <w:tcBorders>
              <w:top w:val="single" w:color="auto" w:sz="4" w:space="0"/>
              <w:left w:val="single" w:color="auto" w:sz="4" w:space="0"/>
              <w:bottom w:val="single" w:color="auto" w:sz="4" w:space="0"/>
              <w:right w:val="single" w:color="auto" w:sz="4" w:space="0"/>
            </w:tcBorders>
          </w:tcPr>
          <w:p>
            <w:pPr>
              <w:jc w:val="center"/>
            </w:pPr>
            <w:r>
              <w:rPr>
                <w:color w:val="000000"/>
                <w:kern w:val="0"/>
                <w:sz w:val="22"/>
                <w:szCs w:val="22"/>
              </w:rPr>
              <w:t>套</w:t>
            </w:r>
          </w:p>
        </w:tc>
        <w:tc>
          <w:tcPr>
            <w:tcW w:w="1205"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4</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w:t>
            </w:r>
            <w:r>
              <w:rPr>
                <w:rFonts w:ascii="宋体" w:hAnsi="宋体" w:cs="宋体"/>
                <w:color w:val="000000"/>
                <w:sz w:val="20"/>
                <w:szCs w:val="20"/>
              </w:rPr>
              <w:t>软膜</w:t>
            </w:r>
            <w:r>
              <w:rPr>
                <w:rFonts w:hint="eastAsia" w:ascii="宋体" w:hAnsi="宋体" w:cs="宋体"/>
                <w:color w:val="000000"/>
                <w:sz w:val="20"/>
                <w:szCs w:val="20"/>
              </w:rPr>
              <w:t>，0</w:t>
            </w:r>
            <w:r>
              <w:rPr>
                <w:rFonts w:ascii="宋体" w:hAnsi="宋体" w:cs="宋体"/>
                <w:color w:val="000000"/>
                <w:sz w:val="20"/>
                <w:szCs w:val="20"/>
              </w:rPr>
              <w:t>.5mm</w:t>
            </w:r>
            <w:r>
              <w:rPr>
                <w:rFonts w:hint="eastAsia" w:ascii="宋体" w:hAnsi="宋体" w:cs="宋体"/>
                <w:color w:val="000000"/>
                <w:sz w:val="20"/>
                <w:szCs w:val="20"/>
              </w:rPr>
              <w:t>厚铁艺封边</w:t>
            </w:r>
          </w:p>
        </w:tc>
      </w:tr>
    </w:tbl>
    <w:p>
      <w:pPr>
        <w:rPr>
          <w:rFonts w:ascii="宋体" w:hAnsi="宋体" w:cs="宋体"/>
          <w:kern w:val="0"/>
          <w:sz w:val="24"/>
        </w:rPr>
      </w:pPr>
    </w:p>
    <w:p>
      <w:pPr>
        <w:rPr>
          <w:rFonts w:ascii="宋体" w:hAnsi="宋体" w:cs="宋体"/>
          <w:b/>
          <w:bCs/>
          <w:color w:val="FF0000"/>
          <w:kern w:val="0"/>
          <w:sz w:val="24"/>
        </w:rPr>
      </w:pPr>
      <w:r>
        <w:rPr>
          <w:rFonts w:hint="eastAsia" w:ascii="宋体" w:hAnsi="宋体" w:cs="宋体"/>
          <w:b/>
          <w:bCs/>
          <w:color w:val="FF0000"/>
          <w:kern w:val="0"/>
          <w:sz w:val="24"/>
        </w:rPr>
        <w:t>备注：定制灯具至少提供光源的合格证、营业执照、检测报告并保证报告时间在1年以内。所提供的光源资料需体现雄安品牌库灯具品牌（</w:t>
      </w:r>
      <w:r>
        <w:rPr>
          <w:rFonts w:hint="eastAsia" w:ascii="宋体" w:hAnsi="宋体" w:cs="宋体"/>
          <w:b/>
          <w:bCs/>
          <w:color w:val="FF0000"/>
          <w:kern w:val="0"/>
          <w:sz w:val="24"/>
          <w:highlight w:val="yellow"/>
        </w:rPr>
        <w:t>雷士、三雄极光、欧普、中山品上、TCL、阳光照明、飞利浦</w:t>
      </w:r>
      <w:r>
        <w:rPr>
          <w:rFonts w:hint="eastAsia" w:ascii="宋体" w:hAnsi="宋体" w:cs="宋体"/>
          <w:b/>
          <w:bCs/>
          <w:color w:val="FF0000"/>
          <w:kern w:val="0"/>
          <w:sz w:val="24"/>
        </w:rPr>
        <w:t>）。</w:t>
      </w:r>
    </w:p>
    <w:p>
      <w:pPr>
        <w:rPr>
          <w:rFonts w:ascii="宋体" w:hAnsi="宋体" w:cs="宋体"/>
          <w:b/>
          <w:bCs/>
          <w:color w:val="FF0000"/>
          <w:kern w:val="0"/>
          <w:sz w:val="24"/>
        </w:rPr>
      </w:pPr>
      <w:r>
        <w:rPr>
          <w:rFonts w:hint="eastAsia" w:ascii="宋体" w:hAnsi="宋体" w:cs="宋体"/>
          <w:b/>
          <w:bCs/>
          <w:color w:val="FF0000"/>
          <w:kern w:val="0"/>
          <w:sz w:val="24"/>
        </w:rPr>
        <w:t>方形圆角灯、云朵灯为吸顶式安装。</w:t>
      </w:r>
    </w:p>
    <w:p>
      <w:pPr>
        <w:rPr>
          <w:rFonts w:ascii="宋体" w:hAnsi="宋体" w:cs="宋体"/>
          <w:b/>
          <w:bCs/>
          <w:color w:val="FF0000"/>
          <w:kern w:val="0"/>
          <w:sz w:val="24"/>
        </w:rPr>
      </w:pPr>
      <w:r>
        <w:rPr>
          <w:rFonts w:hint="eastAsia" w:ascii="宋体" w:hAnsi="宋体" w:cs="宋体"/>
          <w:b/>
          <w:bCs/>
          <w:color w:val="FF0000"/>
          <w:kern w:val="0"/>
          <w:sz w:val="24"/>
        </w:rPr>
        <w:t>嵌入式圆灯外露部分为1</w:t>
      </w:r>
      <w:r>
        <w:rPr>
          <w:rFonts w:ascii="宋体" w:hAnsi="宋体" w:cs="宋体"/>
          <w:b/>
          <w:bCs/>
          <w:color w:val="FF0000"/>
          <w:kern w:val="0"/>
          <w:sz w:val="24"/>
        </w:rPr>
        <w:t>6</w:t>
      </w:r>
      <w:r>
        <w:rPr>
          <w:rFonts w:hint="eastAsia" w:ascii="宋体" w:hAnsi="宋体" w:cs="宋体"/>
          <w:b/>
          <w:bCs/>
          <w:color w:val="FF0000"/>
          <w:kern w:val="0"/>
          <w:sz w:val="24"/>
        </w:rPr>
        <w:t>mm</w:t>
      </w:r>
      <w:r>
        <w:rPr>
          <w:rFonts w:ascii="宋体" w:hAnsi="宋体" w:cs="宋体"/>
          <w:b/>
          <w:bCs/>
          <w:color w:val="FF0000"/>
          <w:kern w:val="0"/>
          <w:sz w:val="24"/>
        </w:rPr>
        <w:t xml:space="preserve">  </w:t>
      </w: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p>
    <w:p>
      <w:pPr>
        <w:rPr>
          <w:rFonts w:ascii="宋体" w:hAnsi="宋体" w:cs="宋体"/>
          <w:b/>
          <w:bCs/>
          <w:color w:val="FF0000"/>
          <w:kern w:val="0"/>
          <w:sz w:val="24"/>
        </w:rPr>
      </w:pPr>
      <w:r>
        <w:rPr>
          <w:rFonts w:hint="eastAsia" w:ascii="宋体" w:hAnsi="宋体" w:cs="宋体"/>
          <w:b/>
          <w:bCs/>
          <w:color w:val="FF0000"/>
          <w:kern w:val="0"/>
          <w:sz w:val="24"/>
        </w:rPr>
        <w:t>附图1：方形圆角灯</w:t>
      </w:r>
    </w:p>
    <w:p>
      <w:pPr>
        <w:rPr>
          <w:rFonts w:ascii="宋体" w:hAnsi="宋体" w:cs="宋体"/>
          <w:kern w:val="0"/>
          <w:sz w:val="24"/>
        </w:rPr>
      </w:pPr>
      <w:r>
        <w:drawing>
          <wp:inline distT="0" distB="0" distL="0" distR="0">
            <wp:extent cx="2917825" cy="2392680"/>
            <wp:effectExtent l="0" t="0" r="0" b="7620"/>
            <wp:docPr id="1026" name="图片 1" descr="daecdb8f56fe65459bc8f968aa45281"/>
            <wp:cNvGraphicFramePr/>
            <a:graphic xmlns:a="http://schemas.openxmlformats.org/drawingml/2006/main">
              <a:graphicData uri="http://schemas.openxmlformats.org/drawingml/2006/picture">
                <pic:pic xmlns:pic="http://schemas.openxmlformats.org/drawingml/2006/picture">
                  <pic:nvPicPr>
                    <pic:cNvPr id="1026" name="图片 1" descr="daecdb8f56fe65459bc8f968aa45281"/>
                    <pic:cNvPicPr/>
                  </pic:nvPicPr>
                  <pic:blipFill>
                    <a:blip r:embed="rId4" cstate="print"/>
                    <a:srcRect/>
                    <a:stretch>
                      <a:fillRect/>
                    </a:stretch>
                  </pic:blipFill>
                  <pic:spPr>
                    <a:xfrm>
                      <a:off x="0" y="0"/>
                      <a:ext cx="2918129" cy="2392808"/>
                    </a:xfrm>
                    <a:prstGeom prst="rect">
                      <a:avLst/>
                    </a:prstGeom>
                  </pic:spPr>
                </pic:pic>
              </a:graphicData>
            </a:graphic>
          </wp:inline>
        </w:drawing>
      </w:r>
    </w:p>
    <w:p>
      <w:pPr>
        <w:rPr>
          <w:rFonts w:ascii="宋体" w:hAnsi="宋体" w:cs="宋体"/>
          <w:kern w:val="0"/>
          <w:sz w:val="24"/>
        </w:rPr>
      </w:pPr>
    </w:p>
    <w:p>
      <w:pPr>
        <w:rPr>
          <w:rFonts w:ascii="宋体" w:hAnsi="宋体" w:cs="宋体"/>
          <w:kern w:val="0"/>
          <w:sz w:val="24"/>
        </w:rPr>
      </w:pPr>
      <w:r>
        <w:rPr>
          <w:rFonts w:hint="eastAsia" w:ascii="宋体" w:hAnsi="宋体" w:cs="宋体"/>
          <w:kern w:val="0"/>
          <w:sz w:val="24"/>
        </w:rPr>
        <w:t xml:space="preserve"> 附图2：嵌入式圆灯</w:t>
      </w:r>
    </w:p>
    <w:p>
      <w:pPr>
        <w:rPr>
          <w:rFonts w:ascii="宋体" w:hAnsi="宋体" w:cs="宋体"/>
          <w:kern w:val="0"/>
          <w:sz w:val="24"/>
        </w:rPr>
      </w:pPr>
    </w:p>
    <w:p>
      <w:pPr>
        <w:ind w:firstLine="210" w:firstLineChars="100"/>
        <w:rPr>
          <w:rFonts w:ascii="宋体" w:hAnsi="宋体" w:cs="宋体"/>
          <w:kern w:val="0"/>
          <w:sz w:val="24"/>
        </w:rPr>
      </w:pPr>
      <w:r>
        <w:drawing>
          <wp:inline distT="0" distB="0" distL="0" distR="0">
            <wp:extent cx="2887980" cy="1732915"/>
            <wp:effectExtent l="0" t="0" r="7620" b="635"/>
            <wp:docPr id="1027" name="图片 2" descr="c9478e98d0c11b5a50d35043c3b4af6"/>
            <wp:cNvGraphicFramePr/>
            <a:graphic xmlns:a="http://schemas.openxmlformats.org/drawingml/2006/main">
              <a:graphicData uri="http://schemas.openxmlformats.org/drawingml/2006/picture">
                <pic:pic xmlns:pic="http://schemas.openxmlformats.org/drawingml/2006/picture">
                  <pic:nvPicPr>
                    <pic:cNvPr id="1027" name="图片 2" descr="c9478e98d0c11b5a50d35043c3b4af6"/>
                    <pic:cNvPicPr/>
                  </pic:nvPicPr>
                  <pic:blipFill>
                    <a:blip r:embed="rId5" cstate="print"/>
                    <a:srcRect/>
                    <a:stretch>
                      <a:fillRect/>
                    </a:stretch>
                  </pic:blipFill>
                  <pic:spPr>
                    <a:xfrm>
                      <a:off x="0" y="0"/>
                      <a:ext cx="2888285" cy="1733384"/>
                    </a:xfrm>
                    <a:prstGeom prst="rect">
                      <a:avLst/>
                    </a:prstGeom>
                  </pic:spPr>
                </pic:pic>
              </a:graphicData>
            </a:graphic>
          </wp:inline>
        </w:drawing>
      </w:r>
    </w:p>
    <w:p>
      <w:pPr>
        <w:ind w:firstLine="240" w:firstLineChars="100"/>
        <w:rPr>
          <w:rFonts w:ascii="宋体" w:hAnsi="宋体" w:cs="宋体"/>
          <w:kern w:val="0"/>
          <w:sz w:val="24"/>
        </w:rPr>
      </w:pPr>
    </w:p>
    <w:p>
      <w:pPr>
        <w:ind w:firstLine="240" w:firstLineChars="100"/>
        <w:rPr>
          <w:rFonts w:ascii="宋体" w:hAnsi="宋体" w:cs="宋体"/>
          <w:kern w:val="0"/>
          <w:sz w:val="24"/>
        </w:rPr>
      </w:pPr>
      <w:r>
        <w:rPr>
          <w:rFonts w:hint="eastAsia" w:ascii="宋体" w:hAnsi="宋体" w:cs="宋体"/>
          <w:kern w:val="0"/>
          <w:sz w:val="24"/>
        </w:rPr>
        <w:t>附图3：云朵灯</w:t>
      </w:r>
    </w:p>
    <w:p>
      <w:pPr>
        <w:rPr>
          <w:rFonts w:ascii="宋体" w:hAnsi="宋体" w:cs="宋体"/>
          <w:kern w:val="0"/>
          <w:sz w:val="24"/>
        </w:rPr>
      </w:pPr>
    </w:p>
    <w:p>
      <w:pPr>
        <w:ind w:firstLine="210" w:firstLineChars="100"/>
        <w:rPr>
          <w:rFonts w:ascii="宋体" w:hAnsi="宋体" w:cs="宋体"/>
          <w:kern w:val="0"/>
          <w:sz w:val="24"/>
        </w:rPr>
      </w:pPr>
      <w:r>
        <w:drawing>
          <wp:inline distT="0" distB="0" distL="0" distR="0">
            <wp:extent cx="2710815" cy="2652395"/>
            <wp:effectExtent l="0" t="0" r="0" b="0"/>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6" cstate="print"/>
                    <a:srcRect/>
                    <a:stretch>
                      <a:fillRect/>
                    </a:stretch>
                  </pic:blipFill>
                  <pic:spPr>
                    <a:xfrm>
                      <a:off x="0" y="0"/>
                      <a:ext cx="2711395" cy="2652962"/>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2"/>
      <w:numFmt w:val="chineseCounting"/>
      <w:suff w:val="nothing"/>
      <w:lvlText w:val="%1、"/>
      <w:lvlJc w:val="left"/>
      <w:rPr>
        <w:rFonts w:hint="eastAsia"/>
      </w:rPr>
    </w:lvl>
  </w:abstractNum>
  <w:abstractNum w:abstractNumId="3">
    <w:nsid w:val="00000003"/>
    <w:multiLevelType w:val="singleLevel"/>
    <w:tmpl w:val="00000003"/>
    <w:lvl w:ilvl="0" w:tentative="0">
      <w:start w:val="7"/>
      <w:numFmt w:val="decimal"/>
      <w:suff w:val="nothing"/>
      <w:lvlText w:val="%1）"/>
      <w:lvlJc w:val="left"/>
    </w:lvl>
  </w:abstractNum>
  <w:abstractNum w:abstractNumId="4">
    <w:nsid w:val="00000004"/>
    <w:multiLevelType w:val="multilevel"/>
    <w:tmpl w:val="00000004"/>
    <w:lvl w:ilvl="0" w:tentative="0">
      <w:start w:val="4"/>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5"/>
    <w:multiLevelType w:val="singleLevel"/>
    <w:tmpl w:val="00000005"/>
    <w:lvl w:ilvl="0" w:tentative="0">
      <w:start w:val="2"/>
      <w:numFmt w:val="decimal"/>
      <w:suff w:val="nothing"/>
      <w:lvlText w:val="%1、"/>
      <w:lvlJc w:val="left"/>
      <w:pPr>
        <w:ind w:left="360" w:firstLine="0"/>
      </w:pPr>
    </w:lvl>
  </w:abstractNum>
  <w:abstractNum w:abstractNumId="6">
    <w:nsid w:val="00000006"/>
    <w:multiLevelType w:val="singleLevel"/>
    <w:tmpl w:val="00000006"/>
    <w:lvl w:ilvl="0" w:tentative="0">
      <w:start w:val="5"/>
      <w:numFmt w:val="chineseCounting"/>
      <w:suff w:val="nothing"/>
      <w:lvlText w:val="%1、"/>
      <w:lvlJc w:val="left"/>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GI2NzIwNmMwODdhN2I1ZGEyOGNjNWUwMjRlYzkifQ=="/>
  </w:docVars>
  <w:rsids>
    <w:rsidRoot w:val="00000000"/>
    <w:rsid w:val="00F1191B"/>
    <w:rsid w:val="0D6865B6"/>
    <w:rsid w:val="207812B9"/>
    <w:rsid w:val="23CD191B"/>
    <w:rsid w:val="38DF2256"/>
    <w:rsid w:val="59F960D3"/>
    <w:rsid w:val="5C6568EA"/>
    <w:rsid w:val="755A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Pages>
  <Words>2410</Words>
  <Characters>2741</Characters>
  <Paragraphs>181</Paragraphs>
  <TotalTime>89</TotalTime>
  <ScaleCrop>false</ScaleCrop>
  <LinksUpToDate>false</LinksUpToDate>
  <CharactersWithSpaces>2807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赵博</cp:lastModifiedBy>
  <dcterms:modified xsi:type="dcterms:W3CDTF">2022-06-27T09:48:18Z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88923EAD513643FC8AF179D121C3EC75</vt:lpwstr>
  </property>
</Properties>
</file>